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1A7F99">
        <w:t>633</w:t>
      </w:r>
      <w:r w:rsidR="00A53AF3">
        <w:t>-210</w:t>
      </w:r>
      <w:r w:rsidR="00407BE7">
        <w:t>5</w:t>
      </w:r>
      <w:r w:rsidR="00597B8C">
        <w:t>/202</w:t>
      </w:r>
      <w:r w:rsidR="001A7F99">
        <w:t>4</w:t>
      </w:r>
    </w:p>
    <w:p w:rsidR="00D661E6" w:rsidRPr="00474236" w:rsidP="00C5576E">
      <w:pPr>
        <w:ind w:firstLine="540"/>
        <w:jc w:val="right"/>
      </w:pPr>
      <w:r w:rsidRPr="00D661E6">
        <w:t>86MS0045-01-2024-002680-45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="001A7F99">
        <w:rPr>
          <w:sz w:val="28"/>
          <w:szCs w:val="28"/>
        </w:rPr>
        <w:t xml:space="preserve">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1A7F99">
        <w:rPr>
          <w:sz w:val="28"/>
          <w:szCs w:val="28"/>
        </w:rPr>
        <w:t>31</w:t>
      </w:r>
      <w:r w:rsidR="00597B8C">
        <w:rPr>
          <w:sz w:val="28"/>
          <w:szCs w:val="28"/>
        </w:rPr>
        <w:t xml:space="preserve"> </w:t>
      </w:r>
      <w:r w:rsidR="001A7F99">
        <w:rPr>
          <w:sz w:val="28"/>
          <w:szCs w:val="28"/>
        </w:rPr>
        <w:t>мая 2024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A53AF3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Югры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 xml:space="preserve">, 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 xml:space="preserve">, г. </w:t>
      </w:r>
      <w:r w:rsidRPr="008E7F97">
        <w:rPr>
          <w:sz w:val="28"/>
          <w:szCs w:val="28"/>
        </w:rPr>
        <w:t>Нижневартовск,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10925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директора </w:t>
      </w:r>
      <w:r w:rsidR="00597B8C">
        <w:rPr>
          <w:sz w:val="28"/>
          <w:szCs w:val="28"/>
          <w:lang w:val="ru-RU"/>
        </w:rPr>
        <w:t>муниципального бюджетного общеобразовательного учреждения «Лицей»</w:t>
      </w:r>
      <w:r>
        <w:rPr>
          <w:sz w:val="28"/>
          <w:szCs w:val="28"/>
          <w:lang w:val="ru-RU"/>
        </w:rPr>
        <w:t xml:space="preserve"> Морозенко Ольги Ивановны, </w:t>
      </w:r>
      <w:r w:rsidR="009838AE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года рождения, уроженки </w:t>
      </w:r>
      <w:r w:rsidR="009838AE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, </w:t>
      </w:r>
      <w:r w:rsidR="001A7F99">
        <w:rPr>
          <w:sz w:val="28"/>
          <w:szCs w:val="28"/>
          <w:lang w:val="ru-RU"/>
        </w:rPr>
        <w:t xml:space="preserve">зарегистрированной и </w:t>
      </w:r>
      <w:r>
        <w:rPr>
          <w:sz w:val="28"/>
          <w:szCs w:val="28"/>
          <w:lang w:val="ru-RU"/>
        </w:rPr>
        <w:t>прожи</w:t>
      </w:r>
      <w:r>
        <w:rPr>
          <w:sz w:val="28"/>
          <w:szCs w:val="28"/>
          <w:lang w:val="ru-RU"/>
        </w:rPr>
        <w:t xml:space="preserve">вающей в </w:t>
      </w:r>
      <w:r w:rsidR="009838AE">
        <w:rPr>
          <w:sz w:val="28"/>
          <w:szCs w:val="28"/>
          <w:lang w:val="ru-RU"/>
        </w:rPr>
        <w:t>*****</w:t>
      </w:r>
      <w:r>
        <w:rPr>
          <w:sz w:val="28"/>
          <w:szCs w:val="28"/>
          <w:lang w:val="ru-RU"/>
        </w:rPr>
        <w:t xml:space="preserve">, </w:t>
      </w:r>
      <w:r w:rsidR="001A7F99">
        <w:rPr>
          <w:sz w:val="28"/>
          <w:szCs w:val="28"/>
          <w:lang w:val="ru-RU"/>
        </w:rPr>
        <w:t xml:space="preserve">паспорт </w:t>
      </w:r>
      <w:r w:rsidR="009838AE">
        <w:rPr>
          <w:sz w:val="28"/>
          <w:szCs w:val="28"/>
          <w:lang w:val="ru-RU"/>
        </w:rPr>
        <w:t>****</w:t>
      </w:r>
      <w:r w:rsidR="001A7F99">
        <w:rPr>
          <w:sz w:val="28"/>
          <w:szCs w:val="28"/>
          <w:lang w:val="ru-RU"/>
        </w:rPr>
        <w:t xml:space="preserve">, </w:t>
      </w:r>
    </w:p>
    <w:p w:rsidR="004805FD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4805FD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407BE7" w:rsidRPr="00407BE7" w:rsidP="001A7F99">
      <w:pPr>
        <w:pStyle w:val="BodyTextIndent"/>
        <w:rPr>
          <w:sz w:val="28"/>
          <w:szCs w:val="28"/>
          <w:lang w:val="ru-RU"/>
        </w:rPr>
      </w:pPr>
      <w:r w:rsidRPr="004B2E53">
        <w:rPr>
          <w:sz w:val="28"/>
          <w:szCs w:val="28"/>
        </w:rPr>
        <w:t xml:space="preserve">В ходе проверки финансово-хозяйственной деятельности учреждения по вопросу установления и начисления работникам учреждения выплат стимулирующего характера за качество выполняемых работ за период с 01.01.2023 по 31.12.2023 установлено, что </w:t>
      </w:r>
      <w:r>
        <w:rPr>
          <w:sz w:val="28"/>
          <w:szCs w:val="28"/>
          <w:lang w:val="ru-RU"/>
        </w:rPr>
        <w:t>директором муници</w:t>
      </w:r>
      <w:r>
        <w:rPr>
          <w:sz w:val="28"/>
          <w:szCs w:val="28"/>
          <w:lang w:val="ru-RU"/>
        </w:rPr>
        <w:t xml:space="preserve">пального бюджетного общеобразовательного учреждения «Лицей» (далее по тексту – МБОУ «Лицей») Морозенко О.И. </w:t>
      </w:r>
      <w:r w:rsidRPr="004B2E53">
        <w:rPr>
          <w:sz w:val="28"/>
          <w:szCs w:val="28"/>
        </w:rPr>
        <w:t>произведено неправомерное направление средств на оплату выплаты стимулирующего характера за качество выполняемых работ, оплату части отпускных и ком</w:t>
      </w:r>
      <w:r w:rsidRPr="004B2E53">
        <w:rPr>
          <w:sz w:val="28"/>
          <w:szCs w:val="28"/>
        </w:rPr>
        <w:t xml:space="preserve">андировочных выплат, части единовременной премии, части премиальной выплаты по итогам работы за 4 квартал 2023 года и части единовременной выплаты к отпуску за работу, связанную с организацией отдыха детей в каникулярное время в лагерях, организованных на </w:t>
      </w:r>
      <w:r w:rsidRPr="004B2E53">
        <w:rPr>
          <w:sz w:val="28"/>
          <w:szCs w:val="28"/>
        </w:rPr>
        <w:t>базе муниципальных образовательных организаций на общую сумму 5 926,31 руб. за счет средств субсидии на финансовое обеспечение выполнения муниципального задания за счет субвенции на реализацию основных общеобразовательных программ, код субсидии 006.10.0102</w:t>
      </w:r>
      <w:r w:rsidRPr="004B2E53">
        <w:rPr>
          <w:sz w:val="28"/>
          <w:szCs w:val="28"/>
        </w:rPr>
        <w:t xml:space="preserve"> (далее - субсидия из бюджета округа), предоставленной учреждению в соответствии с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</w:t>
      </w:r>
      <w:r w:rsidRPr="004B2E53">
        <w:rPr>
          <w:sz w:val="28"/>
          <w:szCs w:val="28"/>
        </w:rPr>
        <w:t>ние работ) от 30.12.20</w:t>
      </w:r>
      <w:r>
        <w:rPr>
          <w:sz w:val="28"/>
          <w:szCs w:val="28"/>
        </w:rPr>
        <w:t>22 №64 (далее - Соглашение №64)</w:t>
      </w:r>
      <w:r w:rsidR="00FD0F98">
        <w:rPr>
          <w:sz w:val="28"/>
          <w:szCs w:val="28"/>
          <w:lang w:val="ru-RU"/>
        </w:rPr>
        <w:t xml:space="preserve">, </w:t>
      </w:r>
      <w:r w:rsidR="00134AD2">
        <w:rPr>
          <w:sz w:val="28"/>
          <w:szCs w:val="28"/>
          <w:lang w:val="ru-RU"/>
        </w:rPr>
        <w:t xml:space="preserve">что повлекло нецелевое использование бюджетных средств. </w:t>
      </w:r>
    </w:p>
    <w:p w:rsidR="001A7F99" w:rsidRPr="00F36A96" w:rsidP="001A7F99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9838AE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подтвердила обстоятельства, изложенные в прото</w:t>
      </w:r>
      <w:r>
        <w:rPr>
          <w:sz w:val="28"/>
          <w:szCs w:val="28"/>
          <w:lang w:val="ru-RU"/>
        </w:rPr>
        <w:t xml:space="preserve">коле об административном правонарушении от 13.05.2024, настаивала на привлечении должного лица к административной ответственности. </w:t>
      </w:r>
    </w:p>
    <w:p w:rsidR="001A7F99" w:rsidP="001A7F99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 об </w:t>
      </w:r>
      <w:r w:rsidRPr="008E7F9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>
        <w:rPr>
          <w:sz w:val="28"/>
          <w:szCs w:val="28"/>
          <w:lang w:val="ru-RU"/>
        </w:rPr>
        <w:t>Морозенко О.И. подтвердила факт нецелевого использования денежных с</w:t>
      </w:r>
      <w:r>
        <w:rPr>
          <w:sz w:val="28"/>
          <w:szCs w:val="28"/>
          <w:lang w:val="ru-RU"/>
        </w:rPr>
        <w:t>редств.</w:t>
      </w:r>
      <w:r w:rsidR="00B666DC">
        <w:rPr>
          <w:sz w:val="28"/>
          <w:szCs w:val="28"/>
          <w:lang w:val="ru-RU"/>
        </w:rPr>
        <w:t xml:space="preserve"> Просила снизить размер штрафа до минимального размера. </w:t>
      </w:r>
    </w:p>
    <w:p w:rsidR="001A7F99" w:rsidP="001A7F99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выслушав </w:t>
      </w:r>
      <w:r w:rsidR="00706B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административного органа, </w:t>
      </w:r>
      <w:r w:rsidR="00706BA2">
        <w:rPr>
          <w:sz w:val="28"/>
          <w:szCs w:val="28"/>
        </w:rPr>
        <w:t>лицо</w:t>
      </w:r>
      <w:r w:rsidRPr="00D04BE9">
        <w:rPr>
          <w:sz w:val="28"/>
          <w:szCs w:val="28"/>
        </w:rPr>
        <w:t>, привлекаемо</w:t>
      </w:r>
      <w:r w:rsidR="00706BA2">
        <w:rPr>
          <w:sz w:val="28"/>
          <w:szCs w:val="28"/>
        </w:rPr>
        <w:t>е</w:t>
      </w:r>
      <w:r w:rsidRPr="00D04BE9">
        <w:rPr>
          <w:sz w:val="28"/>
          <w:szCs w:val="28"/>
        </w:rPr>
        <w:t xml:space="preserve"> к административной </w:t>
      </w:r>
      <w:r w:rsidRP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 xml:space="preserve">Формирование расходов </w:t>
      </w:r>
      <w:r w:rsidRPr="009A47FE">
        <w:rPr>
          <w:sz w:val="28"/>
          <w:szCs w:val="28"/>
        </w:rPr>
        <w:t>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</w:t>
      </w:r>
      <w:r w:rsidRPr="009A47FE">
        <w:rPr>
          <w:sz w:val="28"/>
          <w:szCs w:val="28"/>
        </w:rPr>
        <w:t>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</w:t>
      </w:r>
      <w:r w:rsidRPr="009A47FE">
        <w:rPr>
          <w:sz w:val="28"/>
          <w:szCs w:val="28"/>
        </w:rPr>
        <w:t xml:space="preserve"> финансовом году и плановом периоде) за счет средств соответствующих бюджетов (статья 65 Бюджетного кодекса Российской Федерации).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 xml:space="preserve">Ассигнования на предоставление субсидий бюджетным учреждениям, включая субсидии на финансовое обеспечение выполнения ими </w:t>
      </w:r>
      <w:r w:rsidRPr="009A47FE">
        <w:rPr>
          <w:sz w:val="28"/>
          <w:szCs w:val="28"/>
        </w:rPr>
        <w:t>муниципального задания, относятся к бюджетным ассигнованиям на оказание муниципальных услуг (выполнение работ) (статья 69.1 Бюджетного кодекса Российской Федерации).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Для определения объема субсидии на выполнение муниципального задания бюджетным учреждением</w:t>
      </w:r>
      <w:r w:rsidRPr="009A47FE">
        <w:rPr>
          <w:sz w:val="28"/>
          <w:szCs w:val="28"/>
        </w:rPr>
        <w:t xml:space="preserve"> используются показатели муниципального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</w:t>
      </w:r>
      <w:r w:rsidRPr="009A47FE">
        <w:rPr>
          <w:sz w:val="28"/>
          <w:szCs w:val="28"/>
        </w:rPr>
        <w:t xml:space="preserve"> соответствующего бюджета (статья 69.2 Бюджетного кодекса Российской Федерации).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</w:t>
      </w:r>
      <w:r w:rsidRPr="009A47FE">
        <w:rPr>
          <w:sz w:val="28"/>
          <w:szCs w:val="28"/>
        </w:rPr>
        <w:t>ципального) задания,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</w:t>
      </w:r>
      <w:r w:rsidRPr="009A47FE">
        <w:rPr>
          <w:sz w:val="28"/>
          <w:szCs w:val="28"/>
        </w:rPr>
        <w:t>пальных) услуг физическим и (или) юридическим лицам и нормативных затрат на содержание государственного (муниципального) имущества (пункт 1 статьи 78.1 Бюджетного кодекса Российской Федерации).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В соответствии с пунктом 13 части 1 статьи 16 Федерального зак</w:t>
      </w:r>
      <w:r w:rsidRPr="009A47FE">
        <w:rPr>
          <w:sz w:val="28"/>
          <w:szCs w:val="28"/>
        </w:rPr>
        <w:t>она от 06.10.2010 №131-Ф3 "Об общих принципах организации местного самоуправления в Российской Федерации", пунктом 3 части 1 статьи 8, пунктом 1 части 1 статьи 9 Федерального закона от 29.12.2012 №273-Ф3 "Об образовании в Российской Федерации", пунктом 2 с</w:t>
      </w:r>
      <w:r w:rsidRPr="009A47FE">
        <w:rPr>
          <w:sz w:val="28"/>
          <w:szCs w:val="28"/>
        </w:rPr>
        <w:t>татьи 14 Закона Ханты-Мансийского автономного округа - Югры от 01.07.2013 №68-оз "Об образовании в Ханты-Мансийском автономном округе - Югре", подпунктом 2 пункта 1 статьи 9 Закона Ханты-Мансийского автономного округа - Югры от 11.12.2013 №123-оз "О наделе</w:t>
      </w:r>
      <w:r w:rsidRPr="009A47FE">
        <w:rPr>
          <w:sz w:val="28"/>
          <w:szCs w:val="28"/>
        </w:rPr>
        <w:t>нии органов местного самоуправления муниципальных образований Ханты-Мансийского автономного округа</w:t>
      </w:r>
      <w:r>
        <w:rPr>
          <w:sz w:val="28"/>
          <w:szCs w:val="28"/>
        </w:rPr>
        <w:t>-</w:t>
      </w:r>
      <w:r w:rsidRPr="009A47FE">
        <w:rPr>
          <w:sz w:val="28"/>
          <w:szCs w:val="28"/>
        </w:rPr>
        <w:t xml:space="preserve">Югры отдельными государственными </w:t>
      </w:r>
      <w:r w:rsidRPr="009A47FE">
        <w:rPr>
          <w:sz w:val="28"/>
          <w:szCs w:val="28"/>
        </w:rPr>
        <w:t xml:space="preserve">полномочиями Ханты-Мансийского автономного округа - Югры в сфере образования и о субвенциях местным бюджетам на обеспечение </w:t>
      </w:r>
      <w:r w:rsidRPr="009A47FE">
        <w:rPr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</w:t>
      </w:r>
      <w:r w:rsidRPr="009A47FE">
        <w:rPr>
          <w:sz w:val="28"/>
          <w:szCs w:val="28"/>
        </w:rPr>
        <w:t>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организациях", Порядком расходования субвенций, выделяемых бюджетам муниципальных образований Ханты-Мансийско</w:t>
      </w:r>
      <w:r w:rsidRPr="009A47FE">
        <w:rPr>
          <w:sz w:val="28"/>
          <w:szCs w:val="28"/>
        </w:rPr>
        <w:t>го автономного округа - Югры для обеспечения государственных гарантий на получение образования и осуществления переданных им отдельных государственных полномочий, утвержденным приложением 11 к постановлению Правительства Ханты-Мансийского автономного округ</w:t>
      </w:r>
      <w:r w:rsidRPr="009A47FE">
        <w:rPr>
          <w:sz w:val="28"/>
          <w:szCs w:val="28"/>
        </w:rPr>
        <w:t>а -Югры от 30.12.2016 №567-п (далее - постановление Правительства Ханты-Мансийского автономного округа - Югры от 30.12.2016 №567-п), Порядком формирования, финансового обеспечения выполнения муниципального задания на оказание муниципальных услуг (выполнени</w:t>
      </w:r>
      <w:r w:rsidRPr="009A47FE">
        <w:rPr>
          <w:sz w:val="28"/>
          <w:szCs w:val="28"/>
        </w:rPr>
        <w:t>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</w:t>
      </w:r>
      <w:r w:rsidRPr="009A47FE">
        <w:rPr>
          <w:sz w:val="28"/>
          <w:szCs w:val="28"/>
        </w:rPr>
        <w:t>5 №2291, Порядком организации отдыха детей в каникулярное время в лагерях, организованных муниципальными учреждениями города Нижневартовска, утвержденным постановлением администрации города от 30.06.2017 №969, в 2023 году финансовое обеспечение расходов уч</w:t>
      </w:r>
      <w:r w:rsidRPr="009A47FE">
        <w:rPr>
          <w:sz w:val="28"/>
          <w:szCs w:val="28"/>
        </w:rPr>
        <w:t>реждения на оказание муниципальных услуг производилось за счет средств субсидий, предоставленных учреждению Соглашением №64 на оказание муниципальных услуг, установленных в муниципальном задании, сформированных в том числе за счет: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субсидии из бюджета ок</w:t>
      </w:r>
      <w:r w:rsidRPr="009A47FE">
        <w:rPr>
          <w:sz w:val="28"/>
          <w:szCs w:val="28"/>
        </w:rPr>
        <w:t>руга на реализацию основных общеобразовательных программ, код субсидии 006.10.0102, предоставленной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</w:t>
      </w:r>
      <w:r w:rsidRPr="009A47FE">
        <w:rPr>
          <w:sz w:val="28"/>
          <w:szCs w:val="28"/>
        </w:rPr>
        <w:t>анизациях;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субсидии из бюджета города, код субсидии 006.10.0109, предоставленной на создание условий для организации отдыха детей в каникулярное время в лагерях, организованных на базе муниципальных образовательных организаций.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Порядок формирования, фина</w:t>
      </w:r>
      <w:r w:rsidRPr="009A47FE">
        <w:rPr>
          <w:sz w:val="28"/>
          <w:szCs w:val="28"/>
        </w:rPr>
        <w:t>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</w:t>
      </w:r>
      <w:r w:rsidRPr="009A47FE">
        <w:rPr>
          <w:sz w:val="28"/>
          <w:szCs w:val="28"/>
        </w:rPr>
        <w:t>ниципального задания утвержден постановлением администрации города от 21.12.2015 №2291.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 xml:space="preserve">Муниципальное задание на 2023 год и на плановый период 2024 и 2025 годов, утвержденное приказом департамента образования администрации города от </w:t>
      </w:r>
      <w:r w:rsidRPr="009A47FE">
        <w:rPr>
          <w:sz w:val="28"/>
          <w:szCs w:val="28"/>
        </w:rPr>
        <w:t>26.12.2022 №980 (с изме</w:t>
      </w:r>
      <w:r w:rsidRPr="009A47FE">
        <w:rPr>
          <w:sz w:val="28"/>
          <w:szCs w:val="28"/>
        </w:rPr>
        <w:t>нениями), в соответствии с вышеуказанным постановлением администрации города выдано учреждению на оказание муниципальных услуг: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по реализации основных общеобразовательных программ основного общего образования;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по реализации основных общеобразовательных</w:t>
      </w:r>
      <w:r w:rsidRPr="009A47FE">
        <w:rPr>
          <w:sz w:val="28"/>
          <w:szCs w:val="28"/>
        </w:rPr>
        <w:t xml:space="preserve"> программ среднего общего образования;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по предоставлению питания;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-</w:t>
      </w:r>
      <w:r w:rsidRPr="009A47FE">
        <w:rPr>
          <w:sz w:val="28"/>
          <w:szCs w:val="28"/>
        </w:rPr>
        <w:tab/>
        <w:t>по организации отдыха детей и молодежи,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соответствующих направлениям расходования субсидии, установленным приложением 1 к Соглашению №64.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Пунктом 4.3 Соглашения №64 установлены обязаннос</w:t>
      </w:r>
      <w:r w:rsidRPr="009A47FE">
        <w:rPr>
          <w:sz w:val="28"/>
          <w:szCs w:val="28"/>
        </w:rPr>
        <w:t>ти учреждения по использованию субсидии на выполнение муниципального задания, а именно: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осуществлять ее использование в целях оказания муниципальной услуги в соответствии с требованиями к объему, порядку оказания муниципальной услуги, определенными в муниц</w:t>
      </w:r>
      <w:r w:rsidRPr="009A47FE">
        <w:rPr>
          <w:sz w:val="28"/>
          <w:szCs w:val="28"/>
        </w:rPr>
        <w:t>ипальном задании и в соответствии с утвержденным планом финансово-хозяйственной деятельности учреждения на 2023 год и на плановый период 2024 и 2025 годов; обеспечить использование субсидии из бюджета округа в соответствии с целевым направлением расходован</w:t>
      </w:r>
      <w:r w:rsidRPr="009A47FE">
        <w:rPr>
          <w:sz w:val="28"/>
          <w:szCs w:val="28"/>
        </w:rPr>
        <w:t>ия средств и нормативами, установленными постановлением Правительства Ханты-Мансийского автономного округа - Югры от 30.12.2016 №567-п; обеспечить целевое использование средств субсидии.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Разделом 5 Соглашения №64 предусмотрено, что в случае неисполнения ил</w:t>
      </w:r>
      <w:r w:rsidRPr="009A47FE">
        <w:rPr>
          <w:sz w:val="28"/>
          <w:szCs w:val="28"/>
        </w:rPr>
        <w:t>и ненадлежащего исполнения обязательств, определенных данным соглашением, учреждение несет ответственность в соответствии с законодательством Российской Федерации.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В соответствии с пунктом 2 статьи 11 Закона Ханты-Мансийского автономного округа - Югры от 1</w:t>
      </w:r>
      <w:r w:rsidRPr="009A47FE">
        <w:rPr>
          <w:sz w:val="28"/>
          <w:szCs w:val="28"/>
        </w:rPr>
        <w:t>1.12.2013 №123-оз субсидия из бюджета округа (код субсидии 006.10.0102) направляется на оплату труда работников муниципальных общеобразовательных организаций, дополнительное профессиональное образование педагогических работников, приобретение учебников и у</w:t>
      </w:r>
      <w:r w:rsidRPr="009A47FE">
        <w:rPr>
          <w:sz w:val="28"/>
          <w:szCs w:val="28"/>
        </w:rPr>
        <w:t>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"Интернет", на проведение государственно</w:t>
      </w:r>
      <w:r w:rsidRPr="009A47FE">
        <w:rPr>
          <w:sz w:val="28"/>
          <w:szCs w:val="28"/>
        </w:rPr>
        <w:t>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Согласно пункту 3.1 Порядка организации отдыха детей в каникулярное время в лагерях, орга</w:t>
      </w:r>
      <w:r w:rsidRPr="009A47FE">
        <w:rPr>
          <w:sz w:val="28"/>
          <w:szCs w:val="28"/>
        </w:rPr>
        <w:t>низованных муниципальными учреждениями города Нижневартовска, утвержденного постановлением администрации города от 30.06.2017 №969, источником финансового обеспечения деятельности лагеря являются субсидии, предоставляемые учредителем на финансовое обеспече</w:t>
      </w:r>
      <w:r w:rsidRPr="009A47FE">
        <w:rPr>
          <w:sz w:val="28"/>
          <w:szCs w:val="28"/>
        </w:rPr>
        <w:t xml:space="preserve">ние выполнения муниципального задания, субсидии на иные цели в порядке, установленном муниципальным правовым актом, иные источники, </w:t>
      </w:r>
      <w:r w:rsidRPr="009A47FE">
        <w:rPr>
          <w:sz w:val="28"/>
          <w:szCs w:val="28"/>
        </w:rPr>
        <w:t>предусмотренные законодательством Российской Федерации, в связи с чем Соглашением №64 учреждению предоставлена субсидия на в</w:t>
      </w:r>
      <w:r w:rsidRPr="009A47FE">
        <w:rPr>
          <w:sz w:val="28"/>
          <w:szCs w:val="28"/>
        </w:rPr>
        <w:t>ыполнение муниципального задания за счет средств бюджета города (код субсидии 006.10.0109) на создание условий для организации отдыха детей в каникулярное время в лагерях, организованных на базе муниципальных образовательных организаций, на оплату труда, п</w:t>
      </w:r>
      <w:r w:rsidRPr="009A47FE">
        <w:rPr>
          <w:sz w:val="28"/>
          <w:szCs w:val="28"/>
        </w:rPr>
        <w:t>риобретение канцелярских и хозяйственных товаров, учебные расходы, прочие работы, услуги, страхование детей в лагерях.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В ходе проверки установления и начисления работникам учреждения выплат стимулирующего характера было установлено, что педагогу-организато</w:t>
      </w:r>
      <w:r w:rsidRPr="009A47FE">
        <w:rPr>
          <w:sz w:val="28"/>
          <w:szCs w:val="28"/>
        </w:rPr>
        <w:t xml:space="preserve">ру </w:t>
      </w:r>
      <w:r w:rsidR="009838AE">
        <w:rPr>
          <w:sz w:val="28"/>
          <w:szCs w:val="28"/>
        </w:rPr>
        <w:t>ФИО2</w:t>
      </w:r>
      <w:r w:rsidRPr="009A47FE">
        <w:rPr>
          <w:sz w:val="28"/>
          <w:szCs w:val="28"/>
        </w:rPr>
        <w:t xml:space="preserve"> на период с 01.01.2023 по 31.12.2023 была неправомерно установлена и начислена выплата стимулирующего характера за качество выполняемых работ в сумме 3 894,60 руб. за счет субсидии из бюджета округа (код субсидии 006.10.0102) за участие в</w:t>
      </w:r>
      <w:r w:rsidRPr="009A47FE">
        <w:rPr>
          <w:sz w:val="28"/>
          <w:szCs w:val="28"/>
        </w:rPr>
        <w:t xml:space="preserve"> каникулярное время в работе профильных смен пришкольного лагеря работнику в качестве начальника лагеря (дополнительные соглашения от 24.10.2023, от 20.03.2023 к трудовому договору от 30.08.2016, срочные трудовые договоры от 29.05.2023 №602, №603) на основ</w:t>
      </w:r>
      <w:r w:rsidRPr="009A47FE">
        <w:rPr>
          <w:sz w:val="28"/>
          <w:szCs w:val="28"/>
        </w:rPr>
        <w:t xml:space="preserve">ании приказов учреждения от 26.09.2022 №245 "О стимулирующих выплатах работникам учреждения на 2022-2023 учебный год" и от 28.09.2023 №276 "О стимулирующих выплатах работникам учреждения на 2023-2024 учебный год", что также повлекло за собой неправомерное </w:t>
      </w:r>
      <w:r w:rsidRPr="009A47FE">
        <w:rPr>
          <w:sz w:val="28"/>
          <w:szCs w:val="28"/>
        </w:rPr>
        <w:t>направление средств за счет субсидии из бюджета округа (код субсидии 006.10.0102) на оплату части отпускных и командировочных выплат, части единовременной премии, части премиальной выплаты по итогам работы за 4 квартал 2023 года и части единовременной выпл</w:t>
      </w:r>
      <w:r w:rsidRPr="009A47FE">
        <w:rPr>
          <w:sz w:val="28"/>
          <w:szCs w:val="28"/>
        </w:rPr>
        <w:t>аты к отпуску в общей сумме 2 031,71 руб., учитывая, что субсидия из бюджета округа (код субсидии 006.10.0102) предоставлена на оплату труда работников муниципальных общеобразовательных организаций, дополнительное профессиональное образование педагогически</w:t>
      </w:r>
      <w:r w:rsidRPr="009A47FE">
        <w:rPr>
          <w:sz w:val="28"/>
          <w:szCs w:val="28"/>
        </w:rPr>
        <w:t xml:space="preserve">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</w:t>
      </w:r>
      <w:r w:rsidRPr="009A47FE">
        <w:rPr>
          <w:sz w:val="28"/>
          <w:szCs w:val="28"/>
        </w:rPr>
        <w:t>"Интернет", на проведение государственной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 и Законом Ханты-Мансийского автономного округа - Ю</w:t>
      </w:r>
      <w:r w:rsidRPr="009A47FE">
        <w:rPr>
          <w:sz w:val="28"/>
          <w:szCs w:val="28"/>
        </w:rPr>
        <w:t xml:space="preserve">гры от 11.12.2013 №123-оз не предусмотрено ее направление на оплату труда за работу, связанную с организацией отдыха детей в каникулярное время в лагерях, организованных на базе муниципальных образовательных организаций, расходы на которую производятся за </w:t>
      </w:r>
      <w:r w:rsidRPr="009A47FE">
        <w:rPr>
          <w:sz w:val="28"/>
          <w:szCs w:val="28"/>
        </w:rPr>
        <w:t xml:space="preserve">счет средств бюджета города по коду субсидии 006.10.0109, предоставленной на выполнение муниципальной услуги на создание условий для организации отдыха детей в каникулярное время в лагерях, организованных на базе муниципальных образовательных организаций, </w:t>
      </w:r>
      <w:r w:rsidRPr="009A47FE">
        <w:rPr>
          <w:sz w:val="28"/>
          <w:szCs w:val="28"/>
        </w:rPr>
        <w:t>включая расходы на оплату труда и премирование, за счет которых должна производиться оплата труда и премирование работников, привлекаемых для работы в лагере с дневным пребыванием детей.</w:t>
      </w:r>
    </w:p>
    <w:p w:rsidR="001A7F99" w:rsidRPr="009A47FE" w:rsidP="001A7F99">
      <w:pPr>
        <w:ind w:firstLine="540"/>
        <w:jc w:val="both"/>
        <w:rPr>
          <w:sz w:val="28"/>
          <w:szCs w:val="28"/>
        </w:rPr>
      </w:pPr>
      <w:r w:rsidRPr="009A47FE">
        <w:rPr>
          <w:sz w:val="28"/>
          <w:szCs w:val="28"/>
        </w:rPr>
        <w:t>Оплату расходов на выплаты стимулирующего характера за качество выпол</w:t>
      </w:r>
      <w:r w:rsidRPr="009A47FE">
        <w:rPr>
          <w:sz w:val="28"/>
          <w:szCs w:val="28"/>
        </w:rPr>
        <w:t xml:space="preserve">няемых работ, части отпускных и командировочных выплат, части единовременной премии, части премиальной выплаты по итогам работы за 4 квартал 2023 года и части единовременной выплаты к отпуску педагогу-организатору </w:t>
      </w:r>
      <w:r w:rsidR="009838AE">
        <w:rPr>
          <w:sz w:val="28"/>
          <w:szCs w:val="28"/>
        </w:rPr>
        <w:t>ФИО2</w:t>
      </w:r>
      <w:r w:rsidRPr="009A47FE">
        <w:rPr>
          <w:sz w:val="28"/>
          <w:szCs w:val="28"/>
        </w:rPr>
        <w:t xml:space="preserve"> в сумме 5 926,31 руб., прои</w:t>
      </w:r>
      <w:r w:rsidRPr="009A47FE">
        <w:rPr>
          <w:sz w:val="28"/>
          <w:szCs w:val="28"/>
        </w:rPr>
        <w:t>зведены на основании платежных поручений от 17.01.2023 №28 (отметка об исполнении от 23.01.2023), от 01.02.2023 №90 (отметка об исполнении 07.02.2023), от 15.02.2023 №143 (отметка об исполнении 21.02.2023), от 28.02.2023 №217 (отметка об исполнении 06.03.2</w:t>
      </w:r>
      <w:r w:rsidRPr="009A47FE">
        <w:rPr>
          <w:sz w:val="28"/>
          <w:szCs w:val="28"/>
        </w:rPr>
        <w:t>023), от 01.03.2023 №226 (отметка об исполнении 07.03.2023), от 17.03.2023 №285 (отметка об исполнении 23.03.2023), от 31.03.2023 №355 (отметка об исполнении 06.04.2023), от 17.04.2023 №431 (отметка об исполнении 20.04.2023), от 28.04.2023 №484 (отметка об</w:t>
      </w:r>
      <w:r w:rsidRPr="009A47FE">
        <w:rPr>
          <w:sz w:val="28"/>
          <w:szCs w:val="28"/>
        </w:rPr>
        <w:t xml:space="preserve"> исполнении 04.05.2023), от 16.05.2023 №549 (отметка об исполнении 19.05.2023), от 18.05.2023 №557 (отметка об исполнении 23.05.2023), от 05.06.2023 №665 (отметка об исполнении 08.06.2023), от 18.08.2023 №1004 (отметка об исполнении 23.08.2023), от 04.09.2</w:t>
      </w:r>
      <w:r w:rsidRPr="009A47FE">
        <w:rPr>
          <w:sz w:val="28"/>
          <w:szCs w:val="28"/>
        </w:rPr>
        <w:t>023 №1084 (отметка об исполнении 07.09.2023), от 19.09.2023 №1127 (отметка об исполнении 22.09.2023), от 29.09.2023 №1183 (отметка об исполнении 04.10.2023), от 04.10.2023 №1224 (отметка об исполнении 09.10.2023), от 18.10.2023 №1276 (отметка об исполнении</w:t>
      </w:r>
      <w:r w:rsidRPr="009A47FE">
        <w:rPr>
          <w:sz w:val="28"/>
          <w:szCs w:val="28"/>
        </w:rPr>
        <w:t xml:space="preserve"> 23.10.2023), от 02.11.2023 №1378 (отметка об исполнении 08.11.2023), от 04.12.2023 №1513 (отметка об исполнении 07.12.2023), от 22.12.2023 №1600 (отметка об исполнении 22.12.2023), от 22.12.2023 №1611 (отметка об исполнении 22.12.2023).</w:t>
      </w:r>
    </w:p>
    <w:p w:rsidR="00DB41C6" w:rsidRPr="0082151B" w:rsidP="00DB41C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151B">
        <w:rPr>
          <w:rFonts w:eastAsiaTheme="minorHAnsi"/>
          <w:sz w:val="28"/>
          <w:szCs w:val="28"/>
          <w:lang w:eastAsia="en-US"/>
        </w:rPr>
        <w:t>Нецелевым использо</w:t>
      </w:r>
      <w:r w:rsidRPr="0082151B">
        <w:rPr>
          <w:rFonts w:eastAsiaTheme="minorHAnsi"/>
          <w:sz w:val="28"/>
          <w:szCs w:val="28"/>
          <w:lang w:eastAsia="en-US"/>
        </w:rPr>
        <w:t>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</w:t>
      </w:r>
      <w:r w:rsidRPr="0082151B">
        <w:rPr>
          <w:rFonts w:eastAsiaTheme="minorHAnsi"/>
          <w:sz w:val="28"/>
          <w:szCs w:val="28"/>
          <w:lang w:eastAsia="en-US"/>
        </w:rPr>
        <w:t>писью, бюджетной росписью, бюджетной сметой, договором (соглашением) либо иным документом, являющимся правовым основанием п</w:t>
      </w:r>
      <w:r>
        <w:rPr>
          <w:rFonts w:eastAsiaTheme="minorHAnsi"/>
          <w:sz w:val="28"/>
          <w:szCs w:val="28"/>
          <w:lang w:eastAsia="en-US"/>
        </w:rPr>
        <w:t xml:space="preserve">редоставления указанных средств (п. 1 ст. 306.4 </w:t>
      </w:r>
      <w:r w:rsidRPr="0082151B">
        <w:rPr>
          <w:rFonts w:eastAsiaTheme="minorHAnsi"/>
          <w:sz w:val="28"/>
          <w:szCs w:val="28"/>
          <w:lang w:eastAsia="en-US"/>
        </w:rPr>
        <w:t xml:space="preserve">Бюджетного кодекса РФ). </w:t>
      </w:r>
    </w:p>
    <w:p w:rsidR="00217BAE" w:rsidP="00DB41C6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>
        <w:rPr>
          <w:sz w:val="28"/>
          <w:szCs w:val="28"/>
        </w:rPr>
        <w:t>Согласно Распоряжению администрации города Нижневартовска Ха</w:t>
      </w:r>
      <w:r>
        <w:rPr>
          <w:sz w:val="28"/>
          <w:szCs w:val="28"/>
        </w:rPr>
        <w:t>нты-Мансийского автономного округа-Югры от 0</w:t>
      </w:r>
      <w:r w:rsidR="00F57E9E">
        <w:rPr>
          <w:sz w:val="28"/>
          <w:szCs w:val="28"/>
        </w:rPr>
        <w:t>8</w:t>
      </w:r>
      <w:r>
        <w:rPr>
          <w:sz w:val="28"/>
          <w:szCs w:val="28"/>
        </w:rPr>
        <w:t>.04.20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>1 № 2</w:t>
      </w:r>
      <w:r w:rsidR="00F57E9E">
        <w:rPr>
          <w:sz w:val="28"/>
          <w:szCs w:val="28"/>
        </w:rPr>
        <w:t>22</w:t>
      </w:r>
      <w:r>
        <w:rPr>
          <w:sz w:val="28"/>
          <w:szCs w:val="28"/>
        </w:rPr>
        <w:t xml:space="preserve">-лс Морозенко О.И. </w:t>
      </w:r>
      <w:r w:rsidR="00F57E9E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 xml:space="preserve">на должность директора МБОУ «Лицей» </w:t>
      </w:r>
      <w:r w:rsidR="00F57E9E"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>с 1</w:t>
      </w:r>
      <w:r w:rsidR="00F57E9E">
        <w:rPr>
          <w:sz w:val="28"/>
          <w:szCs w:val="28"/>
        </w:rPr>
        <w:t>3 а</w:t>
      </w:r>
      <w:r>
        <w:rPr>
          <w:sz w:val="28"/>
          <w:szCs w:val="28"/>
        </w:rPr>
        <w:t>преля 20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>1 года по 1</w:t>
      </w:r>
      <w:r w:rsidR="00F57E9E">
        <w:rPr>
          <w:sz w:val="28"/>
          <w:szCs w:val="28"/>
        </w:rPr>
        <w:t>2 апреля 2023</w:t>
      </w:r>
      <w:r>
        <w:rPr>
          <w:sz w:val="28"/>
          <w:szCs w:val="28"/>
        </w:rPr>
        <w:t xml:space="preserve"> года. Распоряжени</w:t>
      </w:r>
      <w:r w:rsidR="00F57E9E">
        <w:rPr>
          <w:sz w:val="28"/>
          <w:szCs w:val="28"/>
        </w:rPr>
        <w:t>ем от 12.04.2023</w:t>
      </w:r>
      <w:r>
        <w:rPr>
          <w:sz w:val="28"/>
          <w:szCs w:val="28"/>
        </w:rPr>
        <w:t xml:space="preserve"> № 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57E9E">
        <w:rPr>
          <w:sz w:val="28"/>
          <w:szCs w:val="28"/>
        </w:rPr>
        <w:t>6</w:t>
      </w:r>
      <w:r>
        <w:rPr>
          <w:sz w:val="28"/>
          <w:szCs w:val="28"/>
        </w:rPr>
        <w:t xml:space="preserve">-лс срок трудового договора № 33 от </w:t>
      </w:r>
      <w:r>
        <w:rPr>
          <w:sz w:val="28"/>
          <w:szCs w:val="28"/>
        </w:rPr>
        <w:t xml:space="preserve">08.04.2021 продлен с 13.04.2023 по 12 апреля 2026 года. </w:t>
      </w:r>
    </w:p>
    <w:p w:rsidR="001A7F99" w:rsidRPr="004A4F20" w:rsidP="001A7F99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  <w:shd w:val="clear" w:color="auto" w:fill="FFFFFF"/>
        </w:rPr>
      </w:pPr>
      <w:r w:rsidRPr="00026FFD">
        <w:rPr>
          <w:sz w:val="28"/>
          <w:szCs w:val="28"/>
        </w:rPr>
        <w:t xml:space="preserve">В ходе рассмотрения дела установлен факт несоблюдения </w:t>
      </w:r>
      <w:r>
        <w:rPr>
          <w:sz w:val="28"/>
          <w:szCs w:val="28"/>
        </w:rPr>
        <w:t xml:space="preserve">директором </w:t>
      </w:r>
      <w:r w:rsidRPr="00026FFD">
        <w:rPr>
          <w:sz w:val="28"/>
          <w:szCs w:val="28"/>
        </w:rPr>
        <w:t xml:space="preserve">МБОУ «Лицей» </w:t>
      </w:r>
      <w:r>
        <w:rPr>
          <w:sz w:val="28"/>
          <w:szCs w:val="28"/>
        </w:rPr>
        <w:t xml:space="preserve">Морозенко О.И. </w:t>
      </w:r>
      <w:r w:rsidRPr="00026FFD">
        <w:rPr>
          <w:sz w:val="28"/>
          <w:szCs w:val="28"/>
        </w:rPr>
        <w:t xml:space="preserve">вышеперечисленных </w:t>
      </w:r>
      <w:r>
        <w:rPr>
          <w:sz w:val="28"/>
          <w:szCs w:val="28"/>
        </w:rPr>
        <w:t>условий Соглашения №64, выразившийся в неправомерно</w:t>
      </w:r>
      <w:r w:rsidRPr="00567E91">
        <w:rPr>
          <w:sz w:val="28"/>
          <w:szCs w:val="28"/>
        </w:rPr>
        <w:t>м направлени</w:t>
      </w:r>
      <w:r>
        <w:rPr>
          <w:sz w:val="28"/>
          <w:szCs w:val="28"/>
        </w:rPr>
        <w:t>и</w:t>
      </w:r>
      <w:r w:rsidRPr="00567E91">
        <w:rPr>
          <w:sz w:val="28"/>
          <w:szCs w:val="28"/>
        </w:rPr>
        <w:t xml:space="preserve"> </w:t>
      </w:r>
      <w:r w:rsidRPr="009A47FE">
        <w:rPr>
          <w:sz w:val="28"/>
          <w:szCs w:val="28"/>
        </w:rPr>
        <w:t xml:space="preserve">денежных средств по </w:t>
      </w:r>
      <w:r w:rsidRPr="009A47FE">
        <w:rPr>
          <w:sz w:val="28"/>
          <w:szCs w:val="28"/>
        </w:rPr>
        <w:t>вышеуказанным платежным поручениям в сумме 5 926,31 руб. за счет субсидии из бюджета округа на выплату стимулирующего характера за качество выполняемых работ, части отпускных и командировочных выплат, единовременной премии, премиальной выплаты по итогам ра</w:t>
      </w:r>
      <w:r w:rsidRPr="009A47FE">
        <w:rPr>
          <w:sz w:val="28"/>
          <w:szCs w:val="28"/>
        </w:rPr>
        <w:t>боты за 4 квартал 2023 года и единовременной выплаты к отпуску</w:t>
      </w:r>
      <w:r>
        <w:rPr>
          <w:sz w:val="28"/>
          <w:szCs w:val="28"/>
        </w:rPr>
        <w:t xml:space="preserve">, </w:t>
      </w:r>
      <w:r w:rsidRPr="0063016B">
        <w:rPr>
          <w:sz w:val="28"/>
          <w:szCs w:val="28"/>
          <w:shd w:val="clear" w:color="auto" w:fill="FFFFFF"/>
        </w:rPr>
        <w:t>то есть нецелевом использовании денежных средств.</w:t>
      </w:r>
    </w:p>
    <w:p w:rsidR="006F355B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4A4F20">
        <w:rPr>
          <w:sz w:val="28"/>
          <w:szCs w:val="28"/>
        </w:rPr>
        <w:t>В соответствии со статьей 15.14 Кодекса Российской Федерации об административных правонарушениях нецелевое использование бюджетных средств, вы</w:t>
      </w:r>
      <w:r w:rsidRPr="004A4F20">
        <w:rPr>
          <w:sz w:val="28"/>
          <w:szCs w:val="28"/>
        </w:rPr>
        <w:t>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</w:t>
      </w:r>
      <w:r w:rsidRPr="004A4F20">
        <w:rPr>
          <w:sz w:val="28"/>
          <w:szCs w:val="28"/>
        </w:rPr>
        <w:t xml:space="preserve">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</w:t>
      </w:r>
      <w:r w:rsidRPr="00A47A0A">
        <w:rPr>
          <w:sz w:val="28"/>
          <w:szCs w:val="28"/>
        </w:rPr>
        <w:t xml:space="preserve">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> дея</w:t>
      </w:r>
      <w:r w:rsidRPr="00A47A0A">
        <w:rPr>
          <w:sz w:val="28"/>
          <w:szCs w:val="28"/>
        </w:rPr>
        <w:t xml:space="preserve">ния, влечет наложение административного штрафа </w:t>
      </w:r>
      <w:r w:rsidRPr="006F355B">
        <w:rPr>
          <w:sz w:val="28"/>
          <w:szCs w:val="28"/>
        </w:rPr>
        <w:t>на должностных лиц в размере от двадцати тысяч до пятидесяти тысяч рублей или дисквалификацию на с</w:t>
      </w:r>
      <w:r>
        <w:rPr>
          <w:sz w:val="28"/>
          <w:szCs w:val="28"/>
        </w:rPr>
        <w:t>рок от одного года до трех лет.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>Данное правонарушение характеризуется совершением конкретной платежно-расчетной</w:t>
      </w:r>
      <w:r w:rsidRPr="00D77B12">
        <w:rPr>
          <w:sz w:val="28"/>
          <w:szCs w:val="28"/>
        </w:rPr>
        <w:t xml:space="preserve">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</w:t>
      </w:r>
      <w:r w:rsidRPr="00156F96">
        <w:rPr>
          <w:sz w:val="28"/>
          <w:szCs w:val="28"/>
        </w:rPr>
        <w:t xml:space="preserve">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B16B51">
        <w:rPr>
          <w:sz w:val="28"/>
          <w:szCs w:val="28"/>
        </w:rPr>
        <w:t xml:space="preserve">должностного </w:t>
      </w:r>
      <w:r w:rsidRPr="00156F96">
        <w:rPr>
          <w:sz w:val="28"/>
          <w:szCs w:val="28"/>
        </w:rPr>
        <w:t xml:space="preserve">лица </w:t>
      </w:r>
      <w:r w:rsidRPr="00A33105" w:rsidR="00567E91">
        <w:rPr>
          <w:sz w:val="28"/>
          <w:szCs w:val="28"/>
        </w:rPr>
        <w:t>МБОУ «Лицей»</w:t>
      </w:r>
      <w:r w:rsidR="00567E91">
        <w:rPr>
          <w:sz w:val="28"/>
          <w:szCs w:val="28"/>
        </w:rPr>
        <w:t xml:space="preserve"> </w:t>
      </w:r>
      <w:r w:rsidR="00B16B51">
        <w:rPr>
          <w:sz w:val="28"/>
          <w:szCs w:val="28"/>
        </w:rPr>
        <w:t xml:space="preserve">Морозенко О.И. </w:t>
      </w:r>
      <w:r w:rsidRPr="00156F96">
        <w:rPr>
          <w:sz w:val="28"/>
          <w:szCs w:val="28"/>
        </w:rPr>
        <w:t xml:space="preserve">в совершении указанного </w:t>
      </w:r>
      <w:r w:rsidRPr="00156F96">
        <w:rPr>
          <w:sz w:val="28"/>
          <w:szCs w:val="28"/>
        </w:rPr>
        <w:t>административного правонарушения.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B16B51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действия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</w:t>
      </w:r>
      <w:r>
        <w:rPr>
          <w:sz w:val="28"/>
          <w:szCs w:val="28"/>
        </w:rPr>
        <w:t>ятельству мировой судья относит признание вины.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по делу об административном правонарушении от 09.02.2022, вступившим в </w:t>
      </w:r>
      <w:r w:rsidRPr="00D661E6">
        <w:rPr>
          <w:sz w:val="28"/>
          <w:szCs w:val="28"/>
        </w:rPr>
        <w:t xml:space="preserve">законную силу </w:t>
      </w:r>
      <w:r w:rsidRPr="00D661E6" w:rsidR="00D661E6">
        <w:rPr>
          <w:sz w:val="28"/>
          <w:szCs w:val="28"/>
        </w:rPr>
        <w:t>22.02.2022,</w:t>
      </w:r>
      <w:r w:rsidRPr="00D661E6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Морозенко О.И. подвергнута административно</w:t>
      </w:r>
      <w:r w:rsidR="00733948">
        <w:rPr>
          <w:sz w:val="28"/>
          <w:szCs w:val="28"/>
        </w:rPr>
        <w:t xml:space="preserve">му наказанию </w:t>
      </w:r>
      <w:r>
        <w:rPr>
          <w:sz w:val="28"/>
          <w:szCs w:val="28"/>
        </w:rPr>
        <w:t xml:space="preserve">по ст. 15.14 Кодекса РФ об </w:t>
      </w:r>
      <w:r w:rsidRPr="008E7F97">
        <w:rPr>
          <w:sz w:val="28"/>
          <w:szCs w:val="28"/>
        </w:rPr>
        <w:t>административн</w:t>
      </w:r>
      <w:r w:rsidRPr="008E7F97">
        <w:rPr>
          <w:sz w:val="28"/>
          <w:szCs w:val="28"/>
        </w:rPr>
        <w:t>ых правонарушениях</w:t>
      </w:r>
      <w:r>
        <w:rPr>
          <w:sz w:val="28"/>
          <w:szCs w:val="28"/>
        </w:rPr>
        <w:t xml:space="preserve"> </w:t>
      </w:r>
      <w:r w:rsidR="00200E4F">
        <w:rPr>
          <w:sz w:val="28"/>
          <w:szCs w:val="28"/>
        </w:rPr>
        <w:t>в виде предупреждения</w:t>
      </w:r>
      <w:r>
        <w:rPr>
          <w:sz w:val="28"/>
          <w:szCs w:val="28"/>
        </w:rPr>
        <w:t xml:space="preserve">, что </w:t>
      </w:r>
      <w:r w:rsidR="00733948">
        <w:rPr>
          <w:sz w:val="28"/>
          <w:szCs w:val="28"/>
        </w:rPr>
        <w:t xml:space="preserve">в соответствии со ст. 4.3 КоАП РФ </w:t>
      </w:r>
      <w:r>
        <w:rPr>
          <w:sz w:val="28"/>
          <w:szCs w:val="28"/>
        </w:rPr>
        <w:t>является обстоятельством, отягчающим административную ответственность</w:t>
      </w:r>
      <w:r w:rsidR="00733948">
        <w:rPr>
          <w:sz w:val="28"/>
          <w:szCs w:val="28"/>
        </w:rPr>
        <w:t xml:space="preserve">. </w:t>
      </w:r>
    </w:p>
    <w:p w:rsidR="00B666DC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указ</w:t>
      </w:r>
      <w:r w:rsidR="00BB69C8">
        <w:rPr>
          <w:sz w:val="28"/>
          <w:szCs w:val="28"/>
        </w:rPr>
        <w:t>а</w:t>
      </w:r>
      <w:r>
        <w:rPr>
          <w:sz w:val="28"/>
          <w:szCs w:val="28"/>
        </w:rPr>
        <w:t>нных обстоятельствах мировой судьи не усматривает оснований для снижения размера штрафа, предус</w:t>
      </w:r>
      <w:r>
        <w:rPr>
          <w:sz w:val="28"/>
          <w:szCs w:val="28"/>
        </w:rPr>
        <w:t xml:space="preserve">мотренного санкцией ст. 15.14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733948" w:rsidP="00CC3F1F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>и отягчающих</w:t>
      </w:r>
      <w:r w:rsidRPr="00FB7DF6">
        <w:rPr>
          <w:sz w:val="28"/>
          <w:szCs w:val="28"/>
        </w:rPr>
        <w:t xml:space="preserve"> админист</w:t>
      </w:r>
      <w:r w:rsidRPr="00FB7DF6">
        <w:rPr>
          <w:sz w:val="28"/>
          <w:szCs w:val="28"/>
        </w:rPr>
        <w:t>ративную ответственность</w:t>
      </w:r>
      <w:r w:rsidRPr="00023AC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 w:rsidR="00535947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>минимальном размере штрафа, предусмотренно</w:t>
      </w:r>
      <w:r w:rsidR="00535947">
        <w:rPr>
          <w:sz w:val="28"/>
          <w:szCs w:val="28"/>
        </w:rPr>
        <w:t>го</w:t>
      </w:r>
      <w:r>
        <w:rPr>
          <w:sz w:val="28"/>
          <w:szCs w:val="28"/>
        </w:rPr>
        <w:t xml:space="preserve"> санкцией ст. 15.14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CC3F1F" w:rsidP="00CC3F1F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4805FD" w:rsidRPr="008E7F97" w:rsidP="00CC3F1F">
      <w:pPr>
        <w:pStyle w:val="BodyTextIndent"/>
        <w:suppressAutoHyphens/>
        <w:rPr>
          <w:sz w:val="28"/>
          <w:szCs w:val="28"/>
        </w:rPr>
      </w:pPr>
    </w:p>
    <w:p w:rsidR="00CC3F1F" w:rsidP="00CC3F1F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535947" w:rsidP="00CC3F1F">
      <w:pPr>
        <w:jc w:val="center"/>
        <w:rPr>
          <w:sz w:val="28"/>
          <w:szCs w:val="28"/>
        </w:rPr>
      </w:pPr>
    </w:p>
    <w:p w:rsidR="00CC3F1F" w:rsidP="00CC3F1F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директора муниципального бюджетного общеобразовательного учреждения «Лицей» Морозенко Ольгу Ивановну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>в совершении административного правонарушен</w:t>
      </w:r>
      <w:r w:rsidRPr="008E7F97">
        <w:rPr>
          <w:sz w:val="28"/>
          <w:szCs w:val="28"/>
        </w:rPr>
        <w:t xml:space="preserve">ия, предусмотренного </w:t>
      </w:r>
      <w:r w:rsidR="00535947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20 000 (двадцати тысяч) рублей.  </w:t>
      </w:r>
    </w:p>
    <w:p w:rsidR="00CC3F1F" w:rsidP="00CC3F1F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Штраф подлежит уплате в УФК по Ханты - Мансийскому </w:t>
      </w:r>
      <w:r w:rsidRPr="008E7F97">
        <w:rPr>
          <w:sz w:val="28"/>
          <w:szCs w:val="28"/>
        </w:rPr>
        <w:t>автономному округу–Югре (</w:t>
      </w:r>
      <w:r w:rsidRPr="008D518F">
        <w:rPr>
          <w:color w:val="002060"/>
          <w:sz w:val="28"/>
          <w:szCs w:val="28"/>
        </w:rPr>
        <w:t>Администрация города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>РКЦ Ханты-Мансийск//УФК по Ханты-</w:t>
      </w:r>
      <w:r w:rsidRPr="00D647AE">
        <w:rPr>
          <w:color w:val="002060"/>
          <w:sz w:val="28"/>
          <w:szCs w:val="28"/>
        </w:rPr>
        <w:t xml:space="preserve">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03202098000000000109245</w:t>
      </w:r>
      <w:r w:rsidR="00B16084">
        <w:rPr>
          <w:sz w:val="28"/>
          <w:szCs w:val="28"/>
        </w:rPr>
        <w:t>56</w:t>
      </w:r>
      <w:r>
        <w:rPr>
          <w:sz w:val="28"/>
          <w:szCs w:val="26"/>
        </w:rPr>
        <w:t>.</w:t>
      </w:r>
    </w:p>
    <w:p w:rsidR="00CC3F1F" w:rsidRPr="001658D5" w:rsidP="00CC3F1F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1658D5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>5</w:t>
      </w:r>
      <w:r w:rsidRPr="00A20419">
        <w:rPr>
          <w:sz w:val="28"/>
          <w:szCs w:val="28"/>
        </w:rPr>
        <w:t xml:space="preserve"> Нижневартовского судебного района города ок</w:t>
      </w:r>
      <w:r w:rsidRPr="00A20419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</w:t>
      </w:r>
      <w:r w:rsidRPr="00A20419">
        <w:rPr>
          <w:sz w:val="28"/>
          <w:szCs w:val="28"/>
        </w:rPr>
        <w:t xml:space="preserve">. 1 ст. 20.25 Кодекса РФ об административных правонарушениях. </w:t>
      </w:r>
    </w:p>
    <w:p w:rsidR="00CC3F1F" w:rsidP="00CC3F1F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35947" w:rsidP="00CC3F1F">
      <w:pPr>
        <w:ind w:firstLine="540"/>
        <w:jc w:val="both"/>
        <w:rPr>
          <w:sz w:val="28"/>
          <w:szCs w:val="28"/>
        </w:rPr>
      </w:pPr>
    </w:p>
    <w:p w:rsidR="00D661E6" w:rsidP="00CC3F1F">
      <w:pPr>
        <w:ind w:firstLine="540"/>
        <w:jc w:val="both"/>
        <w:rPr>
          <w:sz w:val="28"/>
          <w:szCs w:val="28"/>
        </w:rPr>
      </w:pPr>
    </w:p>
    <w:p w:rsidR="00CC3F1F" w:rsidRPr="00351B2A" w:rsidP="00CC3F1F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>Мир</w:t>
      </w:r>
      <w:r w:rsidRPr="00351B2A">
        <w:rPr>
          <w:rFonts w:ascii="Times New Roman" w:eastAsia="MS Mincho" w:hAnsi="Times New Roman"/>
          <w:bCs/>
          <w:sz w:val="28"/>
          <w:szCs w:val="28"/>
        </w:rPr>
        <w:t>овой судья                                                                                      Т.А. Лаптева</w:t>
      </w:r>
    </w:p>
    <w:sectPr w:rsidSect="00535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707" w:bottom="0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1A3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E361A3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361A3" w:rsidP="00A53AF3">
    <w:pPr>
      <w:pStyle w:val="Header"/>
      <w:ind w:right="360"/>
    </w:pPr>
  </w:p>
  <w:p w:rsidR="00E36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838AE" w:rsidR="009838AE">
      <w:rPr>
        <w:noProof/>
        <w:lang w:val="ru-RU"/>
      </w:rPr>
      <w:t>7</w:t>
    </w:r>
    <w:r>
      <w:fldChar w:fldCharType="end"/>
    </w:r>
  </w:p>
  <w:p w:rsidR="00E361A3">
    <w:pPr>
      <w:pStyle w:val="Header"/>
    </w:pPr>
  </w:p>
  <w:p w:rsidR="00E361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AC8"/>
    <w:rsid w:val="00026FFD"/>
    <w:rsid w:val="000443E9"/>
    <w:rsid w:val="00053E4A"/>
    <w:rsid w:val="00064DA1"/>
    <w:rsid w:val="00067EA3"/>
    <w:rsid w:val="000778DA"/>
    <w:rsid w:val="000813DF"/>
    <w:rsid w:val="000A0953"/>
    <w:rsid w:val="001046B4"/>
    <w:rsid w:val="001060FA"/>
    <w:rsid w:val="00134AD2"/>
    <w:rsid w:val="00134E0A"/>
    <w:rsid w:val="00156F96"/>
    <w:rsid w:val="001658D5"/>
    <w:rsid w:val="00165F89"/>
    <w:rsid w:val="0017032E"/>
    <w:rsid w:val="0018574D"/>
    <w:rsid w:val="001A7F99"/>
    <w:rsid w:val="001F5682"/>
    <w:rsid w:val="00200E4F"/>
    <w:rsid w:val="00204F09"/>
    <w:rsid w:val="00217BAE"/>
    <w:rsid w:val="0022382F"/>
    <w:rsid w:val="00295031"/>
    <w:rsid w:val="00296D9E"/>
    <w:rsid w:val="0029731F"/>
    <w:rsid w:val="002A18F7"/>
    <w:rsid w:val="002A217F"/>
    <w:rsid w:val="002F35AB"/>
    <w:rsid w:val="0032200A"/>
    <w:rsid w:val="003300E8"/>
    <w:rsid w:val="00341E66"/>
    <w:rsid w:val="00344637"/>
    <w:rsid w:val="0035103B"/>
    <w:rsid w:val="00351B2A"/>
    <w:rsid w:val="003B0A5C"/>
    <w:rsid w:val="003B25D6"/>
    <w:rsid w:val="003B7FBB"/>
    <w:rsid w:val="003F287A"/>
    <w:rsid w:val="00407BE7"/>
    <w:rsid w:val="00410925"/>
    <w:rsid w:val="00416076"/>
    <w:rsid w:val="00432360"/>
    <w:rsid w:val="0045263D"/>
    <w:rsid w:val="00474236"/>
    <w:rsid w:val="004805FD"/>
    <w:rsid w:val="00480606"/>
    <w:rsid w:val="004A4F20"/>
    <w:rsid w:val="004B2E53"/>
    <w:rsid w:val="004C1435"/>
    <w:rsid w:val="004D6EB0"/>
    <w:rsid w:val="004D79CB"/>
    <w:rsid w:val="00535947"/>
    <w:rsid w:val="00566599"/>
    <w:rsid w:val="00567E91"/>
    <w:rsid w:val="00597B8C"/>
    <w:rsid w:val="005C61B5"/>
    <w:rsid w:val="005D3608"/>
    <w:rsid w:val="00617699"/>
    <w:rsid w:val="00626B76"/>
    <w:rsid w:val="0063016B"/>
    <w:rsid w:val="00644BA6"/>
    <w:rsid w:val="00661ABE"/>
    <w:rsid w:val="006869B2"/>
    <w:rsid w:val="006A4332"/>
    <w:rsid w:val="006F355B"/>
    <w:rsid w:val="00706BA2"/>
    <w:rsid w:val="00715E0A"/>
    <w:rsid w:val="00724CF8"/>
    <w:rsid w:val="0073185E"/>
    <w:rsid w:val="007319E7"/>
    <w:rsid w:val="00733948"/>
    <w:rsid w:val="00747327"/>
    <w:rsid w:val="0082151B"/>
    <w:rsid w:val="008819D2"/>
    <w:rsid w:val="008A17D8"/>
    <w:rsid w:val="008D518F"/>
    <w:rsid w:val="008E7F97"/>
    <w:rsid w:val="00922388"/>
    <w:rsid w:val="0096346F"/>
    <w:rsid w:val="00964D94"/>
    <w:rsid w:val="009717E3"/>
    <w:rsid w:val="009819E1"/>
    <w:rsid w:val="009838AE"/>
    <w:rsid w:val="009A47FE"/>
    <w:rsid w:val="009B13D1"/>
    <w:rsid w:val="00A00376"/>
    <w:rsid w:val="00A050D9"/>
    <w:rsid w:val="00A20419"/>
    <w:rsid w:val="00A33105"/>
    <w:rsid w:val="00A47A0A"/>
    <w:rsid w:val="00A53AF3"/>
    <w:rsid w:val="00A8467B"/>
    <w:rsid w:val="00A95E2D"/>
    <w:rsid w:val="00B16084"/>
    <w:rsid w:val="00B16B51"/>
    <w:rsid w:val="00B666DC"/>
    <w:rsid w:val="00B870BE"/>
    <w:rsid w:val="00BA0DA9"/>
    <w:rsid w:val="00BB69C8"/>
    <w:rsid w:val="00BC425F"/>
    <w:rsid w:val="00C1436B"/>
    <w:rsid w:val="00C23632"/>
    <w:rsid w:val="00C31F11"/>
    <w:rsid w:val="00C5576E"/>
    <w:rsid w:val="00C62ACC"/>
    <w:rsid w:val="00C63126"/>
    <w:rsid w:val="00C73ADD"/>
    <w:rsid w:val="00CC3F1F"/>
    <w:rsid w:val="00D04BE9"/>
    <w:rsid w:val="00D45F56"/>
    <w:rsid w:val="00D469EF"/>
    <w:rsid w:val="00D5064F"/>
    <w:rsid w:val="00D621ED"/>
    <w:rsid w:val="00D647AE"/>
    <w:rsid w:val="00D661E6"/>
    <w:rsid w:val="00D77B12"/>
    <w:rsid w:val="00D8056D"/>
    <w:rsid w:val="00D829A7"/>
    <w:rsid w:val="00D83162"/>
    <w:rsid w:val="00DB41C6"/>
    <w:rsid w:val="00DC2BBD"/>
    <w:rsid w:val="00DD03EA"/>
    <w:rsid w:val="00E05767"/>
    <w:rsid w:val="00E23F7F"/>
    <w:rsid w:val="00E361A3"/>
    <w:rsid w:val="00E51B82"/>
    <w:rsid w:val="00EB5988"/>
    <w:rsid w:val="00EE7CFC"/>
    <w:rsid w:val="00F23C84"/>
    <w:rsid w:val="00F33B7C"/>
    <w:rsid w:val="00F36A96"/>
    <w:rsid w:val="00F57E9E"/>
    <w:rsid w:val="00F61BD3"/>
    <w:rsid w:val="00F6794C"/>
    <w:rsid w:val="00F804FC"/>
    <w:rsid w:val="00FB0469"/>
    <w:rsid w:val="00FB7DF6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742A-70F0-4718-A907-BEFDDD19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